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37E7C52F" w:rsidR="00214AB7" w:rsidRPr="00827E37" w:rsidRDefault="009708A1" w:rsidP="00214AB7">
      <w:pPr>
        <w:jc w:val="center"/>
        <w:rPr>
          <w:sz w:val="20"/>
          <w:szCs w:val="20"/>
        </w:rPr>
      </w:pPr>
      <w:r>
        <w:rPr>
          <w:b/>
          <w:iCs/>
          <w:sz w:val="20"/>
          <w:szCs w:val="20"/>
          <w:u w:val="single"/>
          <w:lang w:val="es-CR"/>
        </w:rPr>
        <w:t>Gutiérrez</w:t>
      </w:r>
      <w:r w:rsidR="00F9141F">
        <w:rPr>
          <w:b/>
          <w:iCs/>
          <w:sz w:val="20"/>
          <w:szCs w:val="20"/>
          <w:u w:val="single"/>
          <w:lang w:val="es-CR"/>
        </w:rPr>
        <w:t xml:space="preserve"> Navas</w:t>
      </w:r>
      <w:r w:rsidR="00BC3223">
        <w:rPr>
          <w:b/>
          <w:iCs/>
          <w:sz w:val="20"/>
          <w:szCs w:val="20"/>
          <w:u w:val="single"/>
          <w:lang w:val="es-CR"/>
        </w:rPr>
        <w:t xml:space="preserve"> y otros</w:t>
      </w:r>
      <w:r w:rsidR="00484D15" w:rsidRPr="00827E37">
        <w:rPr>
          <w:b/>
          <w:iCs/>
          <w:sz w:val="20"/>
          <w:szCs w:val="20"/>
          <w:u w:val="single"/>
          <w:lang w:val="es-CR"/>
        </w:rPr>
        <w:t xml:space="preserve"> </w:t>
      </w:r>
      <w:r w:rsidR="00484D15" w:rsidRPr="00827E37">
        <w:rPr>
          <w:b/>
          <w:i/>
          <w:sz w:val="20"/>
          <w:szCs w:val="20"/>
          <w:u w:val="single"/>
          <w:lang w:val="es-CR"/>
        </w:rPr>
        <w:t>Vs</w:t>
      </w:r>
      <w:r w:rsidR="00484D15" w:rsidRPr="00827E37">
        <w:rPr>
          <w:b/>
          <w:iCs/>
          <w:sz w:val="20"/>
          <w:szCs w:val="20"/>
          <w:u w:val="single"/>
          <w:lang w:val="es-CR"/>
        </w:rPr>
        <w:t xml:space="preserve">. </w:t>
      </w:r>
      <w:r w:rsidR="00F9141F">
        <w:rPr>
          <w:b/>
          <w:iCs/>
          <w:sz w:val="20"/>
          <w:szCs w:val="20"/>
          <w:u w:val="single"/>
          <w:lang w:val="es-CR"/>
        </w:rPr>
        <w:t>Honduras</w:t>
      </w:r>
      <w:r w:rsidR="00484D15" w:rsidRPr="00827E37">
        <w:rPr>
          <w:b/>
          <w:iCs/>
          <w:sz w:val="20"/>
          <w:szCs w:val="20"/>
          <w:u w:val="single"/>
          <w:lang w:val="es-CR"/>
        </w:rPr>
        <w:t>:</w:t>
      </w:r>
      <w:r w:rsidR="00484D15" w:rsidRPr="00827E37">
        <w:rPr>
          <w:b/>
          <w:i/>
          <w:sz w:val="20"/>
          <w:szCs w:val="20"/>
          <w:u w:val="single"/>
          <w:lang w:val="es-CR"/>
        </w:rPr>
        <w:t xml:space="preserve"> </w:t>
      </w:r>
      <w:r w:rsidR="00214AB7" w:rsidRPr="00827E37">
        <w:rPr>
          <w:b/>
          <w:sz w:val="20"/>
          <w:szCs w:val="20"/>
          <w:u w:val="single"/>
          <w:lang w:val="es-CR"/>
        </w:rPr>
        <w:t>reparaciones pendientes de cumplimiento</w:t>
      </w:r>
    </w:p>
    <w:p w14:paraId="47F09BE1" w14:textId="77777777" w:rsidR="00F243DB" w:rsidRPr="002D1474" w:rsidRDefault="00F243DB" w:rsidP="00097803">
      <w:pPr>
        <w:jc w:val="both"/>
        <w:rPr>
          <w:sz w:val="24"/>
        </w:rPr>
      </w:pPr>
    </w:p>
    <w:p w14:paraId="647D96D8" w14:textId="5DB2038E" w:rsidR="00F9141F" w:rsidRPr="002D1474" w:rsidRDefault="00F9141F" w:rsidP="00F9141F">
      <w:pPr>
        <w:pStyle w:val="Prrafodelista"/>
        <w:numPr>
          <w:ilvl w:val="0"/>
          <w:numId w:val="9"/>
        </w:numPr>
        <w:ind w:left="0" w:firstLine="0"/>
        <w:jc w:val="both"/>
        <w:rPr>
          <w:sz w:val="20"/>
          <w:szCs w:val="32"/>
        </w:rPr>
      </w:pPr>
      <w:r w:rsidRPr="002D1474">
        <w:rPr>
          <w:sz w:val="20"/>
          <w:szCs w:val="32"/>
        </w:rPr>
        <w:t>El Estado realizará, en el plazo de seis meses contado a partir de la notificación de esta Sentencia, las publicaciones indicadas en los párrafos 182 y 183 de la Sentencia.</w:t>
      </w:r>
    </w:p>
    <w:p w14:paraId="6419E7FB" w14:textId="77777777" w:rsidR="00F9141F" w:rsidRPr="002D1474" w:rsidRDefault="00F9141F" w:rsidP="00F9141F">
      <w:pPr>
        <w:pStyle w:val="Prrafodelista"/>
        <w:ind w:left="0"/>
        <w:jc w:val="both"/>
        <w:rPr>
          <w:sz w:val="20"/>
          <w:szCs w:val="32"/>
        </w:rPr>
      </w:pPr>
    </w:p>
    <w:p w14:paraId="761041A1" w14:textId="3BB963B7" w:rsidR="002D1474" w:rsidRPr="002D1474" w:rsidRDefault="00F9141F" w:rsidP="00F9141F">
      <w:pPr>
        <w:pStyle w:val="Prrafodelista"/>
        <w:numPr>
          <w:ilvl w:val="0"/>
          <w:numId w:val="9"/>
        </w:numPr>
        <w:ind w:left="0" w:firstLine="0"/>
        <w:jc w:val="both"/>
        <w:rPr>
          <w:rFonts w:eastAsia="Cambria" w:cs="Times New Roman"/>
          <w:bCs/>
          <w:sz w:val="32"/>
          <w:szCs w:val="32"/>
        </w:rPr>
      </w:pPr>
      <w:r w:rsidRPr="002D1474">
        <w:rPr>
          <w:sz w:val="20"/>
          <w:szCs w:val="32"/>
        </w:rPr>
        <w:t xml:space="preserve">El Estado realizará un acto público de reconocimiento de responsabilidad, en los términos del párrafo 179 de la Sentencia. </w:t>
      </w:r>
    </w:p>
    <w:p w14:paraId="68B2B78B" w14:textId="77777777" w:rsidR="002D1474" w:rsidRPr="002D1474" w:rsidRDefault="002D1474" w:rsidP="002D1474">
      <w:pPr>
        <w:pStyle w:val="Prrafodelista"/>
        <w:rPr>
          <w:sz w:val="20"/>
          <w:szCs w:val="32"/>
        </w:rPr>
      </w:pPr>
    </w:p>
    <w:p w14:paraId="0CD8FDCC" w14:textId="14B45CE1" w:rsidR="002D1474" w:rsidRPr="002D1474" w:rsidRDefault="00F9141F" w:rsidP="00F9141F">
      <w:pPr>
        <w:pStyle w:val="Prrafodelista"/>
        <w:numPr>
          <w:ilvl w:val="0"/>
          <w:numId w:val="9"/>
        </w:numPr>
        <w:ind w:left="0" w:firstLine="0"/>
        <w:jc w:val="both"/>
        <w:rPr>
          <w:rFonts w:eastAsia="Cambria" w:cs="Times New Roman"/>
          <w:bCs/>
          <w:sz w:val="32"/>
          <w:szCs w:val="32"/>
        </w:rPr>
      </w:pPr>
      <w:r w:rsidRPr="002D1474">
        <w:rPr>
          <w:sz w:val="20"/>
          <w:szCs w:val="32"/>
        </w:rPr>
        <w:t xml:space="preserve">El Estado, en un plazo razonable contado a partir de la notificación de esta Sentencia, realizará la adecuación normativa señalada en los párrafos 188 a 191 de </w:t>
      </w:r>
      <w:r w:rsidR="002358EE">
        <w:rPr>
          <w:sz w:val="20"/>
          <w:szCs w:val="32"/>
        </w:rPr>
        <w:t>la</w:t>
      </w:r>
      <w:r w:rsidRPr="002D1474">
        <w:rPr>
          <w:sz w:val="20"/>
          <w:szCs w:val="32"/>
        </w:rPr>
        <w:t xml:space="preserve"> Sentencia. </w:t>
      </w:r>
    </w:p>
    <w:p w14:paraId="7B8D33FA" w14:textId="77777777" w:rsidR="002D1474" w:rsidRPr="002D1474" w:rsidRDefault="002D1474" w:rsidP="002D1474">
      <w:pPr>
        <w:pStyle w:val="Prrafodelista"/>
        <w:rPr>
          <w:sz w:val="20"/>
          <w:szCs w:val="32"/>
        </w:rPr>
      </w:pPr>
    </w:p>
    <w:p w14:paraId="4959CB76" w14:textId="103F7B32" w:rsidR="00E63D8D" w:rsidRPr="00E63D8D" w:rsidRDefault="00E63D8D" w:rsidP="00E63D8D">
      <w:pPr>
        <w:pStyle w:val="Prrafodelista"/>
        <w:numPr>
          <w:ilvl w:val="0"/>
          <w:numId w:val="9"/>
        </w:numPr>
        <w:ind w:left="0" w:firstLine="0"/>
        <w:jc w:val="both"/>
        <w:rPr>
          <w:rFonts w:eastAsia="Cambria" w:cs="Times New Roman"/>
          <w:bCs/>
          <w:sz w:val="32"/>
          <w:szCs w:val="32"/>
        </w:rPr>
      </w:pPr>
      <w:r w:rsidRPr="002D1474">
        <w:rPr>
          <w:sz w:val="20"/>
          <w:szCs w:val="32"/>
        </w:rPr>
        <w:t xml:space="preserve">El Estado pagará las cantidades fijadas en </w:t>
      </w:r>
      <w:r>
        <w:rPr>
          <w:sz w:val="20"/>
          <w:szCs w:val="32"/>
        </w:rPr>
        <w:t>el</w:t>
      </w:r>
      <w:r w:rsidRPr="002D1474">
        <w:rPr>
          <w:sz w:val="20"/>
          <w:szCs w:val="32"/>
        </w:rPr>
        <w:t xml:space="preserve"> párrafo 176</w:t>
      </w:r>
      <w:r>
        <w:rPr>
          <w:sz w:val="20"/>
          <w:szCs w:val="32"/>
        </w:rPr>
        <w:t xml:space="preserve"> </w:t>
      </w:r>
      <w:r w:rsidRPr="002D1474">
        <w:rPr>
          <w:sz w:val="20"/>
          <w:szCs w:val="32"/>
        </w:rPr>
        <w:t>de la Sentencia, por concepto de indemnización alternativa</w:t>
      </w:r>
      <w:r w:rsidR="0005607A">
        <w:rPr>
          <w:sz w:val="20"/>
          <w:szCs w:val="32"/>
        </w:rPr>
        <w:t xml:space="preserve">, </w:t>
      </w:r>
      <w:r w:rsidRPr="002D1474">
        <w:rPr>
          <w:sz w:val="20"/>
          <w:szCs w:val="32"/>
        </w:rPr>
        <w:t>en los términos de los párrafos 207 a 211 de la presente Sentencia.</w:t>
      </w:r>
    </w:p>
    <w:p w14:paraId="37520D71" w14:textId="77777777" w:rsidR="002D1474" w:rsidRPr="00E63D8D" w:rsidRDefault="002D1474" w:rsidP="002D1474">
      <w:pPr>
        <w:pStyle w:val="Prrafodelista"/>
        <w:rPr>
          <w:rFonts w:eastAsia="Cambria" w:cs="Times New Roman"/>
          <w:bCs/>
          <w:sz w:val="20"/>
          <w:szCs w:val="20"/>
        </w:rPr>
      </w:pPr>
    </w:p>
    <w:p w14:paraId="4E0FD563" w14:textId="01BF8A8D" w:rsidR="0085183B" w:rsidRPr="0085183B" w:rsidRDefault="002D1474" w:rsidP="0085183B">
      <w:pPr>
        <w:pStyle w:val="Prrafodelista"/>
        <w:numPr>
          <w:ilvl w:val="0"/>
          <w:numId w:val="9"/>
        </w:numPr>
        <w:ind w:left="0" w:firstLine="0"/>
        <w:jc w:val="both"/>
        <w:rPr>
          <w:rFonts w:eastAsia="Cambria" w:cs="Times New Roman"/>
          <w:bCs/>
          <w:sz w:val="20"/>
          <w:szCs w:val="20"/>
        </w:rPr>
      </w:pPr>
      <w:r w:rsidRPr="002D1474">
        <w:rPr>
          <w:sz w:val="20"/>
          <w:szCs w:val="32"/>
        </w:rPr>
        <w:t>El Estado pagará las cantidades fijadas en los párrafos 199</w:t>
      </w:r>
      <w:r w:rsidR="00D32000">
        <w:rPr>
          <w:sz w:val="20"/>
          <w:szCs w:val="32"/>
        </w:rPr>
        <w:t xml:space="preserve"> </w:t>
      </w:r>
      <w:r w:rsidR="00C92FA9">
        <w:rPr>
          <w:sz w:val="20"/>
          <w:szCs w:val="32"/>
        </w:rPr>
        <w:t xml:space="preserve">y </w:t>
      </w:r>
      <w:r w:rsidRPr="002D1474">
        <w:rPr>
          <w:sz w:val="20"/>
          <w:szCs w:val="32"/>
        </w:rPr>
        <w:t xml:space="preserve">202 de la Sentencia, por concepto de indemnización </w:t>
      </w:r>
      <w:r w:rsidR="00C92FA9" w:rsidRPr="0085183B">
        <w:rPr>
          <w:sz w:val="20"/>
          <w:szCs w:val="20"/>
        </w:rPr>
        <w:t>por</w:t>
      </w:r>
      <w:r w:rsidRPr="0085183B">
        <w:rPr>
          <w:sz w:val="20"/>
          <w:szCs w:val="20"/>
        </w:rPr>
        <w:t xml:space="preserve"> daños materiales e inmateriales, en los términos de los párrafos 207 a 211 de la Sentencia.</w:t>
      </w:r>
    </w:p>
    <w:p w14:paraId="7446071B" w14:textId="77777777" w:rsidR="0085183B" w:rsidRPr="0085183B" w:rsidRDefault="0085183B" w:rsidP="0085183B">
      <w:pPr>
        <w:pStyle w:val="Prrafodelista"/>
        <w:ind w:left="0"/>
        <w:jc w:val="both"/>
        <w:rPr>
          <w:rFonts w:eastAsia="Cambria" w:cs="Times New Roman"/>
          <w:bCs/>
          <w:sz w:val="20"/>
          <w:szCs w:val="20"/>
        </w:rPr>
      </w:pPr>
    </w:p>
    <w:p w14:paraId="320B5E82" w14:textId="797CC7A0" w:rsidR="0085183B" w:rsidRPr="002D1474" w:rsidRDefault="0086035C" w:rsidP="002D1474">
      <w:pPr>
        <w:pStyle w:val="Prrafodelista"/>
        <w:numPr>
          <w:ilvl w:val="0"/>
          <w:numId w:val="9"/>
        </w:numPr>
        <w:ind w:left="0" w:firstLine="0"/>
        <w:jc w:val="both"/>
        <w:rPr>
          <w:rFonts w:eastAsia="Cambria" w:cs="Times New Roman"/>
          <w:bCs/>
          <w:sz w:val="32"/>
          <w:szCs w:val="32"/>
        </w:rPr>
      </w:pPr>
      <w:r>
        <w:rPr>
          <w:sz w:val="20"/>
          <w:szCs w:val="20"/>
        </w:rPr>
        <w:t xml:space="preserve">El Estado pagará las cantidades fijadas en el párrafo 200 de la Sentencia con el fin de </w:t>
      </w:r>
      <w:r w:rsidR="0085183B" w:rsidRPr="0085183B">
        <w:rPr>
          <w:sz w:val="20"/>
          <w:szCs w:val="20"/>
        </w:rPr>
        <w:t xml:space="preserve">regularizar las </w:t>
      </w:r>
      <w:r w:rsidR="0085183B" w:rsidRPr="00D32000">
        <w:rPr>
          <w:sz w:val="20"/>
          <w:szCs w:val="20"/>
        </w:rPr>
        <w:t>aportaciones al régimen de jubilaciones de las cuatro víctimas desde el momento de su destitución hasta aquel en que habría culminado el periodo para el cual habían sido designadas como magistrados de la Corte Suprema de Justicia. El Estado deberá efectuar tanto las aportaciones a su cargo, como aquellas que habrían tenido que realizar las víctimas a partir de sus salarios.</w:t>
      </w:r>
    </w:p>
    <w:p w14:paraId="1EA7AF95" w14:textId="77777777" w:rsidR="006D1896" w:rsidRPr="00E63D8D" w:rsidRDefault="006D1896" w:rsidP="002D1474">
      <w:pPr>
        <w:pStyle w:val="Prrafodelista"/>
        <w:ind w:left="0"/>
        <w:jc w:val="both"/>
        <w:rPr>
          <w:rFonts w:eastAsia="Cambria" w:cs="Times New Roman"/>
          <w:bCs/>
          <w:sz w:val="20"/>
          <w:szCs w:val="20"/>
        </w:rPr>
      </w:pPr>
    </w:p>
    <w:p w14:paraId="70EB4042" w14:textId="44F30D16" w:rsidR="006D1896" w:rsidRPr="002D1474" w:rsidRDefault="006D1896" w:rsidP="006D1896">
      <w:pPr>
        <w:pStyle w:val="Prrafodelista"/>
        <w:numPr>
          <w:ilvl w:val="0"/>
          <w:numId w:val="9"/>
        </w:numPr>
        <w:ind w:left="0" w:firstLine="0"/>
        <w:jc w:val="both"/>
        <w:rPr>
          <w:rFonts w:eastAsia="Cambria" w:cs="Times New Roman"/>
          <w:bCs/>
          <w:sz w:val="32"/>
          <w:szCs w:val="32"/>
        </w:rPr>
      </w:pPr>
      <w:r w:rsidRPr="002D1474">
        <w:rPr>
          <w:sz w:val="20"/>
          <w:szCs w:val="32"/>
        </w:rPr>
        <w:t xml:space="preserve">El Estado pagará las cantidades fijadas en </w:t>
      </w:r>
      <w:r w:rsidR="005C720F">
        <w:rPr>
          <w:sz w:val="20"/>
          <w:szCs w:val="32"/>
        </w:rPr>
        <w:t>el párrafo 206</w:t>
      </w:r>
      <w:r w:rsidRPr="002D1474">
        <w:rPr>
          <w:sz w:val="20"/>
          <w:szCs w:val="32"/>
        </w:rPr>
        <w:t xml:space="preserve"> de la presente Sentencia, por concepto </w:t>
      </w:r>
      <w:r w:rsidR="005C720F">
        <w:rPr>
          <w:sz w:val="20"/>
          <w:szCs w:val="32"/>
        </w:rPr>
        <w:t>d</w:t>
      </w:r>
      <w:r w:rsidRPr="002D1474">
        <w:rPr>
          <w:sz w:val="20"/>
          <w:szCs w:val="32"/>
        </w:rPr>
        <w:t>el reintegro de costas y gastos, en los términos de los párrafos 207 a 211 de la Sentencia.</w:t>
      </w:r>
    </w:p>
    <w:p w14:paraId="2F65D6B9" w14:textId="77777777" w:rsidR="006D1896" w:rsidRPr="009E2E1E" w:rsidRDefault="006D1896" w:rsidP="002D1474">
      <w:pPr>
        <w:pStyle w:val="Prrafodelista"/>
        <w:ind w:left="0"/>
        <w:jc w:val="both"/>
        <w:rPr>
          <w:rFonts w:eastAsia="Cambria" w:cs="Times New Roman"/>
          <w:bCs/>
          <w:sz w:val="24"/>
        </w:rPr>
      </w:pPr>
    </w:p>
    <w:sectPr w:rsidR="006D1896" w:rsidRPr="009E2E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B4BE5" w14:textId="77777777" w:rsidR="004A5C07" w:rsidRDefault="004A5C07" w:rsidP="009F7EF4">
      <w:r>
        <w:separator/>
      </w:r>
    </w:p>
  </w:endnote>
  <w:endnote w:type="continuationSeparator" w:id="0">
    <w:p w14:paraId="29F2E2D4" w14:textId="77777777" w:rsidR="004A5C07" w:rsidRDefault="004A5C0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5AB81" w14:textId="77777777" w:rsidR="004A5C07" w:rsidRDefault="004A5C07" w:rsidP="009F7EF4">
      <w:r>
        <w:separator/>
      </w:r>
    </w:p>
  </w:footnote>
  <w:footnote w:type="continuationSeparator" w:id="0">
    <w:p w14:paraId="3DD89258" w14:textId="77777777" w:rsidR="004A5C07" w:rsidRDefault="004A5C0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93053B"/>
    <w:multiLevelType w:val="hybridMultilevel"/>
    <w:tmpl w:val="E30CD67E"/>
    <w:lvl w:ilvl="0" w:tplc="9C62DD06">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B3685"/>
    <w:multiLevelType w:val="hybridMultilevel"/>
    <w:tmpl w:val="69B60D04"/>
    <w:lvl w:ilvl="0" w:tplc="47700DA2">
      <w:start w:val="1"/>
      <w:numFmt w:val="decimal"/>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7"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8"/>
  </w:num>
  <w:num w:numId="2" w16cid:durableId="1006977419">
    <w:abstractNumId w:val="3"/>
  </w:num>
  <w:num w:numId="3" w16cid:durableId="1898857309">
    <w:abstractNumId w:val="7"/>
  </w:num>
  <w:num w:numId="4" w16cid:durableId="813376198">
    <w:abstractNumId w:val="0"/>
  </w:num>
  <w:num w:numId="5" w16cid:durableId="1301183043">
    <w:abstractNumId w:val="2"/>
  </w:num>
  <w:num w:numId="6" w16cid:durableId="1987202998">
    <w:abstractNumId w:val="5"/>
  </w:num>
  <w:num w:numId="7" w16cid:durableId="834998481">
    <w:abstractNumId w:val="6"/>
  </w:num>
  <w:num w:numId="8" w16cid:durableId="620764753">
    <w:abstractNumId w:val="1"/>
  </w:num>
  <w:num w:numId="9" w16cid:durableId="561210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25CD3"/>
    <w:rsid w:val="0004581F"/>
    <w:rsid w:val="0005607A"/>
    <w:rsid w:val="00077037"/>
    <w:rsid w:val="000930F6"/>
    <w:rsid w:val="0009537E"/>
    <w:rsid w:val="00097803"/>
    <w:rsid w:val="000F6F91"/>
    <w:rsid w:val="00101CC6"/>
    <w:rsid w:val="00141D68"/>
    <w:rsid w:val="001426AA"/>
    <w:rsid w:val="001729AE"/>
    <w:rsid w:val="001B7174"/>
    <w:rsid w:val="001E40BF"/>
    <w:rsid w:val="001F3394"/>
    <w:rsid w:val="00206FE0"/>
    <w:rsid w:val="00214AB7"/>
    <w:rsid w:val="00232DAE"/>
    <w:rsid w:val="002358EE"/>
    <w:rsid w:val="00253D4B"/>
    <w:rsid w:val="00291327"/>
    <w:rsid w:val="00296F77"/>
    <w:rsid w:val="002B0CCE"/>
    <w:rsid w:val="002B3295"/>
    <w:rsid w:val="002D1474"/>
    <w:rsid w:val="002E376C"/>
    <w:rsid w:val="00377219"/>
    <w:rsid w:val="00380998"/>
    <w:rsid w:val="003A7E5E"/>
    <w:rsid w:val="003B6482"/>
    <w:rsid w:val="003C561A"/>
    <w:rsid w:val="003E2FF4"/>
    <w:rsid w:val="003E5DDB"/>
    <w:rsid w:val="00465EF0"/>
    <w:rsid w:val="00467507"/>
    <w:rsid w:val="00474D04"/>
    <w:rsid w:val="00476F6E"/>
    <w:rsid w:val="00484D15"/>
    <w:rsid w:val="00486E65"/>
    <w:rsid w:val="004A5C07"/>
    <w:rsid w:val="004D4FC6"/>
    <w:rsid w:val="005154EE"/>
    <w:rsid w:val="005A203D"/>
    <w:rsid w:val="005C720F"/>
    <w:rsid w:val="005D1A85"/>
    <w:rsid w:val="006022F0"/>
    <w:rsid w:val="00610937"/>
    <w:rsid w:val="00617B3E"/>
    <w:rsid w:val="006A777A"/>
    <w:rsid w:val="006C38A6"/>
    <w:rsid w:val="006D1896"/>
    <w:rsid w:val="006E15DE"/>
    <w:rsid w:val="00792165"/>
    <w:rsid w:val="007C5D62"/>
    <w:rsid w:val="00827E37"/>
    <w:rsid w:val="00834F1A"/>
    <w:rsid w:val="0085183B"/>
    <w:rsid w:val="0086035C"/>
    <w:rsid w:val="00867C2F"/>
    <w:rsid w:val="00876E46"/>
    <w:rsid w:val="008A10E9"/>
    <w:rsid w:val="00925155"/>
    <w:rsid w:val="00926FFB"/>
    <w:rsid w:val="00955D28"/>
    <w:rsid w:val="00961371"/>
    <w:rsid w:val="009708A1"/>
    <w:rsid w:val="009832C0"/>
    <w:rsid w:val="009D22BE"/>
    <w:rsid w:val="009D6A26"/>
    <w:rsid w:val="009E2E1E"/>
    <w:rsid w:val="009F7EF4"/>
    <w:rsid w:val="00A1649A"/>
    <w:rsid w:val="00A721F8"/>
    <w:rsid w:val="00AA2296"/>
    <w:rsid w:val="00AA6B2F"/>
    <w:rsid w:val="00AE0035"/>
    <w:rsid w:val="00B005CF"/>
    <w:rsid w:val="00B03BA7"/>
    <w:rsid w:val="00B11B9B"/>
    <w:rsid w:val="00B32A37"/>
    <w:rsid w:val="00B33305"/>
    <w:rsid w:val="00BA6BA9"/>
    <w:rsid w:val="00BC3223"/>
    <w:rsid w:val="00BC5824"/>
    <w:rsid w:val="00BE56CA"/>
    <w:rsid w:val="00BF3ECD"/>
    <w:rsid w:val="00C04CCC"/>
    <w:rsid w:val="00C4747D"/>
    <w:rsid w:val="00C66067"/>
    <w:rsid w:val="00C807CF"/>
    <w:rsid w:val="00C92FA9"/>
    <w:rsid w:val="00CA1142"/>
    <w:rsid w:val="00CD14E6"/>
    <w:rsid w:val="00CF3296"/>
    <w:rsid w:val="00CF5AE9"/>
    <w:rsid w:val="00D042E3"/>
    <w:rsid w:val="00D045E9"/>
    <w:rsid w:val="00D26E80"/>
    <w:rsid w:val="00D32000"/>
    <w:rsid w:val="00D3440D"/>
    <w:rsid w:val="00D843BF"/>
    <w:rsid w:val="00DD716D"/>
    <w:rsid w:val="00E42392"/>
    <w:rsid w:val="00E45105"/>
    <w:rsid w:val="00E50670"/>
    <w:rsid w:val="00E507C2"/>
    <w:rsid w:val="00E5304C"/>
    <w:rsid w:val="00E63D8D"/>
    <w:rsid w:val="00E85D9E"/>
    <w:rsid w:val="00ED29C6"/>
    <w:rsid w:val="00F00A58"/>
    <w:rsid w:val="00F243DB"/>
    <w:rsid w:val="00F50093"/>
    <w:rsid w:val="00F53F1F"/>
    <w:rsid w:val="00F877C5"/>
    <w:rsid w:val="00F9141F"/>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249</Words>
  <Characters>1375</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31</cp:revision>
  <cp:lastPrinted>2022-12-20T16:37:00Z</cp:lastPrinted>
  <dcterms:created xsi:type="dcterms:W3CDTF">2024-04-03T21:04:00Z</dcterms:created>
  <dcterms:modified xsi:type="dcterms:W3CDTF">2024-05-09T17:00:00Z</dcterms:modified>
</cp:coreProperties>
</file>